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t>窗体顶端</w:t>
      </w:r>
    </w:p>
    <w:p>
      <w:pPr>
        <w:pStyle w:val="2"/>
        <w:keepNext w:val="0"/>
        <w:keepLines w:val="0"/>
        <w:widowControl/>
        <w:suppressLineNumbers w:val="0"/>
        <w:spacing w:before="302" w:beforeAutospacing="0" w:after="200" w:afterAutospacing="0" w:line="350" w:lineRule="atLeast"/>
        <w:ind w:left="0" w:right="0"/>
        <w:jc w:val="center"/>
        <w:rPr>
          <w:rFonts w:ascii="微软雅黑" w:hAnsi="微软雅黑" w:eastAsia="微软雅黑" w:cs="微软雅黑"/>
          <w:b/>
          <w:color w:val="002A5F"/>
          <w:sz w:val="24"/>
          <w:szCs w:val="24"/>
        </w:rPr>
      </w:pPr>
      <w:r>
        <w:rPr>
          <w:rFonts w:hint="eastAsia" w:ascii="微软雅黑" w:hAnsi="微软雅黑" w:eastAsia="微软雅黑" w:cs="微软雅黑"/>
          <w:b/>
          <w:color w:val="002A5F"/>
          <w:sz w:val="24"/>
          <w:szCs w:val="24"/>
        </w:rPr>
        <w:t>安徽水利水电职业技术学院引进博士研究生公告</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安徽水利水电职业技术学院始建于1952年，位于合肥市，是公办全日制普通高校。学院是国家“双高”计划建设院校、国家示范性高等职业院校和安徽省首批地方技能型高水平大学建设单位。</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为实施“人才强校”战略，建设一支结构优化、充满活力的高层次、高素质、高水平的教师队伍，围绕地方技能型高水平大学、国家“双高”计划建设和职业本科建设需要，面向社会公开引进博士研究生。</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一、引进计划</w:t>
      </w:r>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75"/>
        <w:gridCol w:w="2980"/>
        <w:gridCol w:w="2636"/>
        <w:gridCol w:w="1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4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Style w:val="5"/>
                <w:rFonts w:hint="eastAsia" w:ascii="宋体" w:hAnsi="宋体" w:eastAsia="宋体" w:cs="宋体"/>
                <w:sz w:val="21"/>
                <w:szCs w:val="21"/>
              </w:rPr>
              <w:t>所属学院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Style w:val="5"/>
                <w:rFonts w:hint="eastAsia" w:ascii="宋体" w:hAnsi="宋体" w:eastAsia="宋体" w:cs="宋体"/>
                <w:sz w:val="21"/>
                <w:szCs w:val="21"/>
              </w:rPr>
              <w:t>招聘专业</w:t>
            </w:r>
          </w:p>
        </w:tc>
        <w:tc>
          <w:tcPr>
            <w:tcW w:w="272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Style w:val="5"/>
                <w:rFonts w:hint="eastAsia" w:ascii="宋体" w:hAnsi="宋体" w:eastAsia="宋体" w:cs="宋体"/>
                <w:sz w:val="21"/>
                <w:szCs w:val="21"/>
              </w:rPr>
              <w:t>招聘人数</w:t>
            </w:r>
          </w:p>
        </w:tc>
        <w:tc>
          <w:tcPr>
            <w:tcW w:w="168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Style w:val="5"/>
                <w:rFonts w:hint="eastAsia" w:ascii="宋体" w:hAnsi="宋体" w:eastAsia="宋体" w:cs="宋体"/>
                <w:sz w:val="21"/>
                <w:szCs w:val="21"/>
              </w:rPr>
              <w:t>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3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水利工程学院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水利水电工程、力学、水工结构工程（施工新技术和新方法方向）、生态水利（水生态环境保护与修复方向）、水力学及河流动力学（施工水力学方向）</w:t>
            </w:r>
          </w:p>
        </w:tc>
        <w:tc>
          <w:tcPr>
            <w:tcW w:w="272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6</w:t>
            </w:r>
          </w:p>
        </w:tc>
        <w:tc>
          <w:tcPr>
            <w:tcW w:w="167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毕老师：67316857</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13956046840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15" w:type="dxa"/>
            <w:left w:w="15" w:type="dxa"/>
            <w:bottom w:w="15" w:type="dxa"/>
            <w:right w:w="15" w:type="dxa"/>
          </w:tblCellMar>
        </w:tblPrEx>
        <w:trPr>
          <w:jc w:val="center"/>
        </w:trPr>
        <w:tc>
          <w:tcPr>
            <w:tcW w:w="1140" w:type="dxa"/>
            <w:vMerge w:val="restart"/>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建筑工程学院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土木工程</w:t>
            </w:r>
          </w:p>
        </w:tc>
        <w:tc>
          <w:tcPr>
            <w:tcW w:w="272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670" w:type="dxa"/>
            <w:vMerge w:val="restart"/>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祝老师：67316883</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13966717986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40" w:type="dxa"/>
            <w:vMerge w:val="continue"/>
            <w:tcBorders>
              <w:tl2br w:val="nil"/>
              <w:tr2bl w:val="nil"/>
            </w:tcBorders>
            <w:shd w:val="clear"/>
            <w:vAlign w:val="center"/>
          </w:tcPr>
          <w:p>
            <w:pPr>
              <w:jc w:val="center"/>
              <w:rPr>
                <w:rFonts w:hint="eastAsia" w:ascii="宋体" w:hAnsi="宋体" w:eastAsia="宋体" w:cs="宋体"/>
                <w:color w:val="333333"/>
                <w:sz w:val="21"/>
                <w:szCs w:val="21"/>
              </w:rPr>
            </w:pP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测绘科学与技术</w:t>
            </w:r>
          </w:p>
        </w:tc>
        <w:tc>
          <w:tcPr>
            <w:tcW w:w="282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1670" w:type="dxa"/>
            <w:vMerge w:val="continue"/>
            <w:tcBorders>
              <w:tl2br w:val="nil"/>
              <w:tr2bl w:val="nil"/>
            </w:tcBorders>
            <w:shd w:val="clear"/>
            <w:vAlign w:val="center"/>
          </w:tcPr>
          <w:p>
            <w:pPr>
              <w:jc w:val="center"/>
              <w:rPr>
                <w:rFonts w:hint="eastAsia" w:ascii="宋体" w:hAnsi="宋体" w:eastAsia="宋体" w:cs="宋体"/>
                <w:color w:val="333333"/>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40" w:type="dxa"/>
            <w:vMerge w:val="restart"/>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市政与交通工程学院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土木工程</w:t>
            </w:r>
          </w:p>
        </w:tc>
        <w:tc>
          <w:tcPr>
            <w:tcW w:w="272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670" w:type="dxa"/>
            <w:vMerge w:val="restart"/>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郑老师：67316882</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18255170900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40" w:type="dxa"/>
            <w:vMerge w:val="continue"/>
            <w:tcBorders>
              <w:tl2br w:val="nil"/>
              <w:tr2bl w:val="nil"/>
            </w:tcBorders>
            <w:shd w:val="clear"/>
            <w:vAlign w:val="center"/>
          </w:tcPr>
          <w:p>
            <w:pPr>
              <w:jc w:val="center"/>
              <w:rPr>
                <w:rFonts w:hint="eastAsia" w:ascii="宋体" w:hAnsi="宋体" w:eastAsia="宋体" w:cs="宋体"/>
                <w:color w:val="333333"/>
                <w:sz w:val="21"/>
                <w:szCs w:val="21"/>
              </w:rPr>
            </w:pPr>
          </w:p>
        </w:tc>
        <w:tc>
          <w:tcPr>
            <w:tcW w:w="139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交通运输工程</w:t>
            </w:r>
          </w:p>
        </w:tc>
        <w:tc>
          <w:tcPr>
            <w:tcW w:w="282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1670" w:type="dxa"/>
            <w:vMerge w:val="continue"/>
            <w:tcBorders>
              <w:tl2br w:val="nil"/>
              <w:tr2bl w:val="nil"/>
            </w:tcBorders>
            <w:shd w:val="clear"/>
            <w:vAlign w:val="center"/>
          </w:tcPr>
          <w:p>
            <w:pPr>
              <w:jc w:val="center"/>
              <w:rPr>
                <w:rFonts w:hint="eastAsia" w:ascii="宋体" w:hAnsi="宋体" w:eastAsia="宋体" w:cs="宋体"/>
                <w:color w:val="333333"/>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15" w:type="dxa"/>
            <w:left w:w="15" w:type="dxa"/>
            <w:bottom w:w="15" w:type="dxa"/>
            <w:right w:w="15" w:type="dxa"/>
          </w:tblCellMar>
        </w:tblPrEx>
        <w:trPr>
          <w:jc w:val="center"/>
        </w:trPr>
        <w:tc>
          <w:tcPr>
            <w:tcW w:w="114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资源与环境工程学院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水文学及水资源（本科专业水文与水资源工程（080802），研究生专业水文学及水资源（081501））</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水利水电工程或农业水土工程（本科专业农业水利工程（081904））</w:t>
            </w:r>
          </w:p>
        </w:tc>
        <w:tc>
          <w:tcPr>
            <w:tcW w:w="272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67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default" w:ascii="宋体" w:hAnsi="宋体" w:eastAsia="宋体" w:cs="宋体"/>
                <w:sz w:val="21"/>
                <w:szCs w:val="21"/>
                <w:lang w:val="en-US" w:eastAsia="zh-CN"/>
              </w:rPr>
            </w:pPr>
            <w:r>
              <w:rPr>
                <w:rFonts w:hint="eastAsia" w:cs="宋体"/>
                <w:sz w:val="21"/>
                <w:szCs w:val="21"/>
                <w:lang w:val="en-US" w:eastAsia="zh-CN"/>
              </w:rPr>
              <w:t>张</w:t>
            </w:r>
            <w:r>
              <w:rPr>
                <w:rFonts w:hint="eastAsia" w:ascii="宋体" w:hAnsi="宋体" w:eastAsia="宋体" w:cs="宋体"/>
                <w:sz w:val="21"/>
                <w:szCs w:val="21"/>
              </w:rPr>
              <w:t>老师：67316</w:t>
            </w:r>
            <w:r>
              <w:rPr>
                <w:rFonts w:hint="eastAsia" w:cs="宋体"/>
                <w:sz w:val="21"/>
                <w:szCs w:val="21"/>
                <w:lang w:val="en-US" w:eastAsia="zh-CN"/>
              </w:rPr>
              <w:t>786</w:t>
            </w:r>
          </w:p>
          <w:p>
            <w:pPr>
              <w:pStyle w:val="2"/>
              <w:keepNext w:val="0"/>
              <w:keepLines w:val="0"/>
              <w:widowControl/>
              <w:suppressLineNumbers w:val="0"/>
              <w:spacing w:before="100" w:beforeAutospacing="0" w:line="300" w:lineRule="atLeast"/>
              <w:jc w:val="center"/>
              <w:rPr>
                <w:rFonts w:hint="default" w:ascii="宋体" w:hAnsi="宋体" w:eastAsia="宋体" w:cs="宋体"/>
                <w:sz w:val="21"/>
                <w:szCs w:val="21"/>
                <w:lang w:val="en-US" w:eastAsia="zh-CN"/>
              </w:rPr>
            </w:pPr>
            <w:r>
              <w:rPr>
                <w:rFonts w:hint="eastAsia" w:cs="宋体"/>
                <w:sz w:val="21"/>
                <w:szCs w:val="21"/>
                <w:lang w:val="en-US" w:eastAsia="zh-CN"/>
              </w:rPr>
              <w:t>13856993385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40" w:type="dxa"/>
            <w:vMerge w:val="restart"/>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机械与汽车工程学院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车辆工程</w:t>
            </w:r>
          </w:p>
        </w:tc>
        <w:tc>
          <w:tcPr>
            <w:tcW w:w="27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1670" w:type="dxa"/>
            <w:vMerge w:val="restart"/>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汪老师：67316866</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13855108446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tblCellMar>
            <w:top w:w="15" w:type="dxa"/>
            <w:left w:w="15" w:type="dxa"/>
            <w:bottom w:w="15" w:type="dxa"/>
            <w:right w:w="15" w:type="dxa"/>
          </w:tblCellMar>
        </w:tblPrEx>
        <w:trPr>
          <w:jc w:val="center"/>
        </w:trPr>
        <w:tc>
          <w:tcPr>
            <w:tcW w:w="1140" w:type="dxa"/>
            <w:vMerge w:val="continue"/>
            <w:tcBorders>
              <w:tl2br w:val="nil"/>
              <w:tr2bl w:val="nil"/>
            </w:tcBorders>
            <w:shd w:val="clear"/>
            <w:vAlign w:val="center"/>
          </w:tcPr>
          <w:p>
            <w:pPr>
              <w:jc w:val="center"/>
              <w:rPr>
                <w:rFonts w:hint="eastAsia" w:ascii="宋体" w:hAnsi="宋体" w:eastAsia="宋体" w:cs="宋体"/>
                <w:color w:val="333333"/>
                <w:sz w:val="21"/>
                <w:szCs w:val="21"/>
              </w:rPr>
            </w:pPr>
          </w:p>
        </w:tc>
        <w:tc>
          <w:tcPr>
            <w:tcW w:w="139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机械工程</w:t>
            </w:r>
          </w:p>
        </w:tc>
        <w:tc>
          <w:tcPr>
            <w:tcW w:w="282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1670" w:type="dxa"/>
            <w:vMerge w:val="continue"/>
            <w:tcBorders>
              <w:tl2br w:val="nil"/>
              <w:tr2bl w:val="nil"/>
            </w:tcBorders>
            <w:shd w:val="clear"/>
            <w:vAlign w:val="center"/>
          </w:tcPr>
          <w:p>
            <w:pPr>
              <w:jc w:val="center"/>
              <w:rPr>
                <w:rFonts w:hint="eastAsia" w:ascii="宋体" w:hAnsi="宋体" w:eastAsia="宋体" w:cs="宋体"/>
                <w:color w:val="333333"/>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4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机电工程学院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控制工程、电气工程、</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机械电子工程</w:t>
            </w:r>
          </w:p>
        </w:tc>
        <w:tc>
          <w:tcPr>
            <w:tcW w:w="27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67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唐老师：67316257</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13856969196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4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电子信息工程学院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计算机科学与技术</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（计算机网络相关方向）</w:t>
            </w:r>
          </w:p>
        </w:tc>
        <w:tc>
          <w:tcPr>
            <w:tcW w:w="27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167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张老师：67316844</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13866156007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14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管理工程学院</w:t>
            </w:r>
          </w:p>
        </w:tc>
        <w:tc>
          <w:tcPr>
            <w:tcW w:w="31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管理科学与工程或工商管理等相关专业（智慧物流、物流管理、供应链管理方向）、管理类专业（本科专业为工程管理、物业管理、房地产经营管理、土木工程等相关专业）</w:t>
            </w:r>
          </w:p>
        </w:tc>
        <w:tc>
          <w:tcPr>
            <w:tcW w:w="271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2</w:t>
            </w:r>
            <w:bookmarkStart w:id="0" w:name="_GoBack"/>
            <w:bookmarkEnd w:id="0"/>
          </w:p>
        </w:tc>
        <w:tc>
          <w:tcPr>
            <w:tcW w:w="1670" w:type="dxa"/>
            <w:tcBorders>
              <w:tl2br w:val="nil"/>
              <w:tr2bl w:val="nil"/>
            </w:tcBorders>
            <w:shd w:val="clear"/>
            <w:vAlign w:val="center"/>
          </w:tcPr>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肖老师：67316162</w:t>
            </w:r>
          </w:p>
          <w:p>
            <w:pPr>
              <w:pStyle w:val="2"/>
              <w:keepNext w:val="0"/>
              <w:keepLines w:val="0"/>
              <w:widowControl/>
              <w:suppressLineNumbers w:val="0"/>
              <w:spacing w:before="100" w:beforeAutospacing="0" w:line="300" w:lineRule="atLeast"/>
              <w:jc w:val="center"/>
              <w:rPr>
                <w:rFonts w:hint="eastAsia" w:ascii="宋体" w:hAnsi="宋体" w:eastAsia="宋体" w:cs="宋体"/>
                <w:sz w:val="21"/>
                <w:szCs w:val="21"/>
              </w:rPr>
            </w:pPr>
            <w:r>
              <w:rPr>
                <w:rFonts w:hint="eastAsia" w:ascii="宋体" w:hAnsi="宋体" w:eastAsia="宋体" w:cs="宋体"/>
                <w:sz w:val="21"/>
                <w:szCs w:val="21"/>
              </w:rPr>
              <w:t>13966662006</w:t>
            </w:r>
          </w:p>
        </w:tc>
      </w:tr>
    </w:tbl>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二、基本条件</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（一）遵纪守法，具有良好的品行，未受过任何刑事、行政处罚和行政、纪律处分。能够遵守学校规章制度，顾全大局，服从安排，具有良好的协作精神。</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（二）热爱教师职业，注重师德修养，以身作则，为人师表；具有强烈的事业心和责任感，开拓进取，勇于创新。</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（三）具有较高的学术水平，熟悉和掌握本专业的最新发展动态和发展状况，在本专业、本领域取得一定的教研、科研或学术成果。</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（四）身心健康，符合岗位要求。</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（五）年龄要求</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highlight w:val="yellow"/>
          <w:shd w:val="clear" w:fill="FFFFFF"/>
          <w14:textFill>
            <w14:solidFill>
              <w14:schemeClr w14:val="tx1"/>
            </w14:solidFill>
          </w14:textFill>
        </w:rPr>
        <w:t>1.博士研究生（不具有高级职称）年龄原则上40周岁及以下。</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2.博士研究生（具有副高级职称）年龄原则上45周岁及以下。</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3.博士研究生（具有正高级职称）年龄原则上50周岁及以下。</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highlight w:val="yellow"/>
          <w:shd w:val="clear" w:fill="FFFFFF"/>
          <w14:textFill>
            <w14:solidFill>
              <w14:schemeClr w14:val="tx1"/>
            </w14:solidFill>
          </w14:textFill>
        </w:rPr>
      </w:pPr>
      <w:r>
        <w:rPr>
          <w:rFonts w:hint="eastAsia" w:ascii="宋体" w:hAnsi="宋体" w:eastAsia="宋体" w:cs="宋体"/>
          <w:color w:val="000000" w:themeColor="text1"/>
          <w:highlight w:val="yellow"/>
          <w:shd w:val="clear" w:fill="FFFFFF"/>
          <w14:textFill>
            <w14:solidFill>
              <w14:schemeClr w14:val="tx1"/>
            </w14:solidFill>
          </w14:textFill>
        </w:rPr>
        <w:t>4.“40周岁及以下”为“1980年3月20日（含）后出生”（其他涉及年龄计算的依此类推）。</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三、福利待遇</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引进的博士生，享受学院在编在岗同级同类人员同工同酬待遇（不具有高级职称的博士生参照在编副教授待遇执行，编制两年内解决）同时享受以下待遇：</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（一）安家费：</w:t>
      </w:r>
      <w:r>
        <w:rPr>
          <w:rFonts w:hint="eastAsia" w:ascii="宋体" w:hAnsi="宋体" w:eastAsia="宋体" w:cs="宋体"/>
          <w:color w:val="000000" w:themeColor="text1"/>
          <w:highlight w:val="yellow"/>
          <w:shd w:val="clear" w:fill="FFFFFF"/>
          <w14:textFill>
            <w14:solidFill>
              <w14:schemeClr w14:val="tx1"/>
            </w14:solidFill>
          </w14:textFill>
        </w:rPr>
        <w:t>不具有高级职称的博士研究生40万元</w:t>
      </w:r>
      <w:r>
        <w:rPr>
          <w:rFonts w:hint="eastAsia" w:ascii="宋体" w:hAnsi="宋体" w:eastAsia="宋体" w:cs="宋体"/>
          <w:color w:val="000000" w:themeColor="text1"/>
          <w:shd w:val="clear" w:fill="FFFFFF"/>
          <w14:textFill>
            <w14:solidFill>
              <w14:schemeClr w14:val="tx1"/>
            </w14:solidFill>
          </w14:textFill>
        </w:rPr>
        <w:t>，具有副高级职称的博士生50万元，具有正高级职称的博士生60万元。</w:t>
      </w:r>
      <w:r>
        <w:rPr>
          <w:rFonts w:hint="eastAsia" w:ascii="宋体" w:hAnsi="宋体" w:eastAsia="宋体" w:cs="宋体"/>
          <w:color w:val="000000" w:themeColor="text1"/>
          <w:highlight w:val="yellow"/>
          <w:shd w:val="clear" w:fill="FFFFFF"/>
          <w14:textFill>
            <w14:solidFill>
              <w14:schemeClr w14:val="tx1"/>
            </w14:solidFill>
          </w14:textFill>
        </w:rPr>
        <w:t>安家费一次性发放到位。</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b/>
          <w:bCs/>
          <w:color w:val="000000" w:themeColor="text1"/>
          <w:highlight w:val="yellow"/>
          <w:shd w:val="clear" w:fill="FFFFFF"/>
          <w14:textFill>
            <w14:solidFill>
              <w14:schemeClr w14:val="tx1"/>
            </w14:solidFill>
          </w14:textFill>
        </w:rPr>
        <w:t>（二）科研启动费30万元。</w:t>
      </w:r>
      <w:r>
        <w:rPr>
          <w:rFonts w:hint="eastAsia" w:ascii="宋体" w:hAnsi="宋体" w:eastAsia="宋体" w:cs="宋体"/>
          <w:color w:val="000000" w:themeColor="text1"/>
          <w:shd w:val="clear" w:fill="FFFFFF"/>
          <w14:textFill>
            <w14:solidFill>
              <w14:schemeClr w14:val="tx1"/>
            </w14:solidFill>
          </w14:textFill>
        </w:rPr>
        <w:t>获得省级以上自然科学或人文社科基金项目，学院按照1:1配套经费。</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highlight w:val="yellow"/>
          <w:shd w:val="clear" w:fill="FFFFFF"/>
          <w14:textFill>
            <w14:solidFill>
              <w14:schemeClr w14:val="tx1"/>
            </w14:solidFill>
          </w14:textFill>
        </w:rPr>
      </w:pPr>
      <w:r>
        <w:rPr>
          <w:rFonts w:hint="eastAsia" w:ascii="宋体" w:hAnsi="宋体" w:eastAsia="宋体" w:cs="宋体"/>
          <w:color w:val="000000" w:themeColor="text1"/>
          <w:highlight w:val="yellow"/>
          <w:shd w:val="clear" w:fill="FFFFFF"/>
          <w14:textFill>
            <w14:solidFill>
              <w14:schemeClr w14:val="tx1"/>
            </w14:solidFill>
          </w14:textFill>
        </w:rPr>
        <w:t>（三）服务期内，学院提供公租房作为周转使用或根据政策规定提供住房货币化补贴。</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（四）申请获得省级以上自然科学基金项目或人文社科基金项目，由学院按照1:1配套经费。</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五）夫妻两地分居（不含本市及三县）、若其配偶符合学院编外人才招聘条件要求，或符合学院校办企业招聘条件的，学院或校办企业按编外人员予以签订劳动合同，待遇按《编外聘用制人员管理办法（修订）》执行。</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（六）若夫妻双方均为我校引进的博士生人才，双方的安家费分别按上述条件标准计算和发放。安家费等均为税前金额，按照国家规定，其个人所得税由学院财务处代扣代缴。</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四、服务年限</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highlight w:val="yellow"/>
          <w:shd w:val="clear" w:fill="FFFFFF"/>
          <w14:textFill>
            <w14:solidFill>
              <w14:schemeClr w14:val="tx1"/>
            </w14:solidFill>
          </w14:textFill>
        </w:rPr>
        <w:t>引进的博士生服务年限不少于8年（满8年）</w:t>
      </w:r>
      <w:r>
        <w:rPr>
          <w:rFonts w:hint="eastAsia" w:ascii="宋体" w:hAnsi="宋体" w:eastAsia="宋体" w:cs="宋体"/>
          <w:color w:val="000000" w:themeColor="text1"/>
          <w:shd w:val="clear" w:fill="FFFFFF"/>
          <w14:textFill>
            <w14:solidFill>
              <w14:schemeClr w14:val="tx1"/>
            </w14:solidFill>
          </w14:textFill>
        </w:rPr>
        <w:t>，若约定服务期限未满，个人申请调动、辞职或因考核不合格解聘，则个人需退还学院发放的全部安家费，配偶在学院或校办企业工作的，同时解除劳动关系。</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五、引进程序</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（一）应聘者报名</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应聘人员填写报名资格审查表，并按“报考所属学院+姓名+专业”格式发送至ahsdxyzzrsc2021@163.com, 报名时间：自公告发布之日起至各专业招满为止。</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（二）资格审查</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1.资格审查时必须报名者本人亲自到场，报名者须持本人的身份证、学历证书（持海外学历的，须提供教育部留学服务中心出具的学历认证报告）、学位证书、专业技术资格证书和教学、科研成果等证明本人符合报名条件的有关资料的原件和复印件。</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2.报名者提供的有关材料必须真实有效，凡查实报名者不符合规定资格条件的，取消其参加面试资格。</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（三）组织考核</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学院对照引进条件，认真审核，并组织对应聘者进行考核。考核内容包括应聘者的思想政治素质、道德品行、专业知识、教科研水平、工作能力等。</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（四）体检考察</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1.体检工作按照省委组织部、省人力资源和社会保障厅、省卫生厅《关于进一步规范全省事业单位公开招聘人员体检工作的通知》(皖人社秘〔2013〕208号)等规定执行。</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2.考察工作根据拟聘用岗位的要求，采取多种形式，全面了解考察对象的政治思想、道德品质、能力素质、遵纪守法、廉洁自律、岗位匹配等方面的情况以及学习工作和报考期间的表现，实行师德一票否决制。</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2" w:firstLineChars="200"/>
        <w:jc w:val="both"/>
        <w:textAlignment w:val="auto"/>
        <w:rPr>
          <w:rFonts w:hint="eastAsia" w:ascii="宋体" w:hAnsi="宋体" w:eastAsia="宋体" w:cs="宋体"/>
          <w:b/>
          <w:bCs/>
          <w:color w:val="000000" w:themeColor="text1"/>
          <w:shd w:val="clear" w:fill="FFFFFF"/>
          <w14:textFill>
            <w14:solidFill>
              <w14:schemeClr w14:val="tx1"/>
            </w14:solidFill>
          </w14:textFill>
        </w:rPr>
      </w:pPr>
      <w:r>
        <w:rPr>
          <w:rFonts w:hint="eastAsia" w:ascii="宋体" w:hAnsi="宋体" w:eastAsia="宋体" w:cs="宋体"/>
          <w:b/>
          <w:bCs/>
          <w:color w:val="000000" w:themeColor="text1"/>
          <w:shd w:val="clear" w:fill="FFFFFF"/>
          <w14:textFill>
            <w14:solidFill>
              <w14:schemeClr w14:val="tx1"/>
            </w14:solidFill>
          </w14:textFill>
        </w:rPr>
        <w:t>（五）公示、聘用</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r>
        <w:rPr>
          <w:rFonts w:hint="eastAsia" w:ascii="宋体" w:hAnsi="宋体" w:eastAsia="宋体" w:cs="宋体"/>
          <w:color w:val="000000" w:themeColor="text1"/>
          <w:shd w:val="clear" w:fill="FFFFFF"/>
          <w14:textFill>
            <w14:solidFill>
              <w14:schemeClr w14:val="tx1"/>
            </w14:solidFill>
          </w14:textFill>
        </w:rPr>
        <w:t>对体检、考察合格者，经学院党委研究确定为拟聘人员，在学校网站公示5个工作日。公示无异议后，予以聘用。</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360" w:lineRule="auto"/>
        <w:ind w:left="0" w:right="0" w:firstLine="480" w:firstLineChars="200"/>
        <w:jc w:val="both"/>
        <w:textAlignment w:val="auto"/>
        <w:rPr>
          <w:rFonts w:hint="eastAsia" w:ascii="宋体" w:hAnsi="宋体" w:eastAsia="宋体" w:cs="宋体"/>
          <w:color w:val="000000" w:themeColor="text1"/>
          <w:shd w:val="clear" w:fill="FFFFFF"/>
          <w14:textFill>
            <w14:solidFill>
              <w14:schemeClr w14:val="tx1"/>
            </w14:solidFill>
          </w14:textFill>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6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color w:val="333333"/>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item-name"/>
    <w:basedOn w:val="4"/>
    <w:uiPriority w:val="0"/>
    <w:rPr>
      <w:bdr w:val="none" w:color="auto" w:sz="0" w:space="0"/>
    </w:rPr>
  </w:style>
  <w:style w:type="character" w:customStyle="1" w:styleId="9">
    <w:name w:val="item-name1"/>
    <w:basedOn w:val="4"/>
    <w:uiPriority w:val="0"/>
    <w:rPr>
      <w:bdr w:val="none" w:color="auto" w:sz="0" w:space="0"/>
    </w:rPr>
  </w:style>
  <w:style w:type="character" w:customStyle="1" w:styleId="10">
    <w:name w:val="item-name2"/>
    <w:basedOn w:val="4"/>
    <w:uiPriority w:val="0"/>
    <w:rPr>
      <w:bdr w:val="none" w:color="auto" w:sz="0" w:space="0"/>
    </w:rPr>
  </w:style>
  <w:style w:type="character" w:customStyle="1" w:styleId="11">
    <w:name w:val="item-name3"/>
    <w:basedOn w:val="4"/>
    <w:uiPriority w:val="0"/>
    <w:rPr>
      <w:bdr w:val="none" w:color="auto" w:sz="0" w:space="0"/>
    </w:rPr>
  </w:style>
  <w:style w:type="character" w:customStyle="1" w:styleId="12">
    <w:name w:val="pubdate-month"/>
    <w:basedOn w:val="4"/>
    <w:uiPriority w:val="0"/>
    <w:rPr>
      <w:color w:val="FFFFFF"/>
      <w:sz w:val="16"/>
      <w:szCs w:val="16"/>
    </w:rPr>
  </w:style>
  <w:style w:type="character" w:customStyle="1" w:styleId="13">
    <w:name w:val="pubdate-day"/>
    <w:basedOn w:val="4"/>
    <w:uiPriority w:val="0"/>
    <w:rPr>
      <w:color w:val="2A2929"/>
    </w:rPr>
  </w:style>
  <w:style w:type="character" w:customStyle="1" w:styleId="14">
    <w:name w:val="disabled"/>
    <w:basedOn w:val="4"/>
    <w:uiPriority w:val="0"/>
    <w:rPr>
      <w:color w:val="DFDFDF"/>
      <w:sz w:val="12"/>
      <w:szCs w:val="12"/>
      <w:bdr w:val="single" w:color="DFDFDF" w:sz="4" w:space="0"/>
      <w:shd w:val="clear" w:fill="FFFFFF"/>
    </w:rPr>
  </w:style>
  <w:style w:type="character" w:customStyle="1" w:styleId="15">
    <w:name w:val="curr"/>
    <w:basedOn w:val="4"/>
    <w:uiPriority w:val="0"/>
    <w:rPr>
      <w:color w:val="FFFFFF"/>
      <w:sz w:val="12"/>
      <w:szCs w:val="12"/>
      <w:bdr w:val="single" w:color="66A1E2" w:sz="4" w:space="0"/>
      <w:shd w:val="clear" w:fill="3D71BF"/>
    </w:rPr>
  </w:style>
  <w:style w:type="character" w:customStyle="1" w:styleId="16">
    <w:name w:val="normalsize"/>
    <w:basedOn w:val="4"/>
    <w:uiPriority w:val="0"/>
    <w:rPr>
      <w:sz w:val="12"/>
      <w:szCs w:val="12"/>
    </w:rPr>
  </w:style>
  <w:style w:type="paragraph" w:styleId="17">
    <w:name w:val=""/>
    <w:basedOn w:val="1"/>
    <w:next w:val="1"/>
    <w:uiPriority w:val="0"/>
    <w:pPr>
      <w:pBdr>
        <w:bottom w:val="single" w:color="auto" w:sz="6" w:space="1"/>
      </w:pBdr>
      <w:jc w:val="center"/>
    </w:pPr>
    <w:rPr>
      <w:rFonts w:ascii="Arial" w:eastAsia="宋体"/>
      <w:vanish/>
      <w:sz w:val="16"/>
    </w:rPr>
  </w:style>
  <w:style w:type="paragraph" w:styleId="1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2021-03-26T12:47:48Z</dcterms:created>
  <dc:creator>ZF</dc:creator>
  <cp:lastModifiedBy>云清</cp:lastModifiedBy>
  <dcterms:modified xsi:type="dcterms:W3CDTF">2021-03-26T12:56:35Z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